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color w:val="000000"/>
          <w:spacing w:val="8"/>
          <w:szCs w:val="32"/>
        </w:rPr>
      </w:pPr>
      <w:r>
        <w:rPr>
          <w:rFonts w:ascii="仿宋" w:hAnsi="仿宋" w:eastAsia="仿宋"/>
          <w:szCs w:val="32"/>
        </w:rPr>
        <w:t>关于《福州市晋安区知识产权专项资金管理办法(</w:t>
      </w:r>
      <w:r>
        <w:rPr>
          <w:rFonts w:hint="eastAsia" w:ascii="仿宋" w:hAnsi="仿宋" w:eastAsia="仿宋"/>
          <w:szCs w:val="32"/>
        </w:rPr>
        <w:t>征求意见稿</w:t>
      </w:r>
      <w:r>
        <w:rPr>
          <w:rFonts w:ascii="仿宋" w:hAnsi="仿宋" w:eastAsia="仿宋"/>
          <w:szCs w:val="32"/>
        </w:rPr>
        <w:t>）》的</w:t>
      </w:r>
      <w:r>
        <w:rPr>
          <w:rFonts w:hint="eastAsia" w:ascii="仿宋" w:hAnsi="仿宋" w:eastAsia="仿宋"/>
          <w:szCs w:val="32"/>
        </w:rPr>
        <w:t>起草说明</w:t>
      </w:r>
    </w:p>
    <w:p>
      <w:pPr>
        <w:spacing w:line="520" w:lineRule="exact"/>
        <w:jc w:val="center"/>
        <w:rPr>
          <w:rFonts w:ascii="仿宋" w:hAnsi="仿宋" w:eastAsia="仿宋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一、起草背景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为全面提升全区知识产权创造、运用、保护、管理与服务的全链条综合水平，根据区委《关于深化拓展“深学争优、敢为争先、实干争效”持续推动“党建领航、经济领跑、民生领先”扎实开展“落实提效年、巩固提高年、突破提档年”行动的工作方案》、区政府《晋安区国家知识产权强县建设试点县工作方案（2024-2026）》文件精神，我局结合本区实际，起草《福州市晋安区知识产权专项资金管理办法(征求意见稿）》（以下简称《办法》）。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二、形成过程</w:t>
      </w:r>
    </w:p>
    <w:p>
      <w:pPr>
        <w:pStyle w:val="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仿宋_GB2312"/>
          <w:szCs w:val="32"/>
        </w:rPr>
        <w:t>针对具体资助和奖励措施，纵向以《福州市知识产权专项资金管理办法》为重点学习对象，横向参考鼓楼区、闽侯县</w:t>
      </w:r>
      <w:r>
        <w:rPr>
          <w:rFonts w:hint="eastAsia" w:ascii="仿宋" w:hAnsi="仿宋" w:eastAsia="仿宋" w:cs="仿宋_GB2312"/>
          <w:szCs w:val="32"/>
        </w:rPr>
        <w:t>两个示范县资助政策，</w:t>
      </w:r>
      <w:r>
        <w:rPr>
          <w:rFonts w:hint="eastAsia" w:ascii="仿宋" w:hAnsi="仿宋" w:eastAsia="仿宋" w:cs="仿宋_GB2312"/>
          <w:b/>
          <w:bCs/>
          <w:szCs w:val="32"/>
        </w:rPr>
        <w:t>重点支持促进知识产权高质量创造、高效益运用、高标准保护和高水平服务</w:t>
      </w:r>
      <w:r>
        <w:rPr>
          <w:rFonts w:hint="eastAsia" w:ascii="仿宋" w:hAnsi="仿宋" w:eastAsia="仿宋" w:cs="仿宋_GB2312"/>
          <w:szCs w:val="32"/>
        </w:rPr>
        <w:t>，结合福州市知识产权发展保护中心、福建省理工大学有关专家意见建议，征求区知识产权工作联</w:t>
      </w:r>
      <w:bookmarkStart w:id="0" w:name="_GoBack"/>
      <w:bookmarkEnd w:id="0"/>
      <w:r>
        <w:rPr>
          <w:rFonts w:hint="eastAsia" w:ascii="仿宋" w:hAnsi="仿宋" w:eastAsia="仿宋" w:cs="仿宋_GB2312"/>
          <w:szCs w:val="32"/>
        </w:rPr>
        <w:t>席会议33个成员单位意见，形成具体的资助与奖励措施。</w:t>
      </w:r>
    </w:p>
    <w:p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三、主要内容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该《办法》共六章17条。《办法》从知识产权创造、运用、保护和服务等四个方面工作制定了9条具体的资助与奖励措施促进我市知识产权发展。</w:t>
      </w:r>
    </w:p>
    <w:p>
      <w:pPr>
        <w:pStyle w:val="2"/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5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福州市晋安区市场监督管理局</w:t>
      </w:r>
    </w:p>
    <w:p>
      <w:pPr>
        <w:pStyle w:val="2"/>
        <w:spacing w:line="50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2024年3月29日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M3ZDAxOWUxZjY1NzQ1YzMyYWU0MDMxYTRjMjkwZjAifQ=="/>
  </w:docVars>
  <w:rsids>
    <w:rsidRoot w:val="00971406"/>
    <w:rsid w:val="00971406"/>
    <w:rsid w:val="00E73E20"/>
    <w:rsid w:val="17566D9C"/>
    <w:rsid w:val="2F2C2C57"/>
    <w:rsid w:val="57152C9B"/>
    <w:rsid w:val="60F926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微软雅黑"/>
      <w:sz w:val="30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/>
      <w:sz w:val="24"/>
      <w:szCs w:val="24"/>
    </w:rPr>
  </w:style>
  <w:style w:type="character" w:styleId="9">
    <w:name w:val="Strong"/>
    <w:qFormat/>
    <w:uiPriority w:val="22"/>
    <w:rPr>
      <w:rFonts w:cs="Times New Roman"/>
      <w:b/>
      <w:bCs/>
    </w:rPr>
  </w:style>
  <w:style w:type="character" w:styleId="10">
    <w:name w:val="page number"/>
    <w:unhideWhenUsed/>
    <w:qFormat/>
    <w:uiPriority w:val="99"/>
    <w:rPr>
      <w:rFonts w:cs="Times New Roman"/>
    </w:rPr>
  </w:style>
  <w:style w:type="paragraph" w:customStyle="1" w:styleId="11">
    <w:name w:val="正文2"/>
    <w:basedOn w:val="1"/>
    <w:next w:val="1"/>
    <w:qFormat/>
    <w:uiPriority w:val="99"/>
  </w:style>
  <w:style w:type="character" w:customStyle="1" w:styleId="12">
    <w:name w:val="页眉 Char"/>
    <w:basedOn w:val="8"/>
    <w:link w:val="5"/>
    <w:uiPriority w:val="0"/>
    <w:rPr>
      <w:rFonts w:ascii="仿宋_GB2312" w:hAnsi="仿宋_GB2312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25</Characters>
  <Lines>1</Lines>
  <Paragraphs>1</Paragraphs>
  <TotalTime>8</TotalTime>
  <ScaleCrop>false</ScaleCrop>
  <LinksUpToDate>false</LinksUpToDate>
  <CharactersWithSpaces>516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2024-05-29T08:04:00Z</dcterms:created>
  <dc:creator>知识产权科内网</dc:creator>
  <cp:lastModifiedBy>Administrator</cp:lastModifiedBy>
  <dcterms:modified xsi:type="dcterms:W3CDTF">2024-11-29T02:09:57Z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ED193C6A206A4C8CB9DD37C37B3AD295_12</vt:lpwstr>
  </property>
</Properties>
</file>