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宋体"/>
          <w:b/>
          <w:spacing w:val="-6"/>
          <w:kern w:val="0"/>
          <w:sz w:val="44"/>
          <w:szCs w:val="44"/>
          <w:u w:val="none"/>
          <w:lang w:val="en-GB"/>
        </w:rPr>
      </w:pPr>
      <w:r>
        <w:rPr>
          <w:rFonts w:hint="eastAsia" w:ascii="仿宋" w:hAnsi="仿宋" w:eastAsia="仿宋"/>
          <w:sz w:val="32"/>
          <w:szCs w:val="32"/>
          <w:u w:val="none"/>
        </w:rPr>
        <w:t>附件</w:t>
      </w:r>
      <w:r>
        <w:rPr>
          <w:rFonts w:hint="eastAsia" w:ascii="仿宋" w:hAnsi="仿宋" w:eastAsia="仿宋"/>
          <w:sz w:val="32"/>
          <w:szCs w:val="32"/>
          <w:u w:val="none"/>
          <w:lang w:val="en-US" w:eastAsia="zh-CN"/>
        </w:rPr>
        <w:t>2</w:t>
      </w:r>
      <w:r>
        <w:rPr>
          <w:rFonts w:hint="eastAsia" w:ascii="仿宋" w:hAnsi="仿宋" w:eastAsia="仿宋"/>
          <w:sz w:val="32"/>
          <w:szCs w:val="32"/>
          <w:u w:val="none"/>
        </w:rPr>
        <w:t>：</w:t>
      </w:r>
    </w:p>
    <w:p>
      <w:pPr>
        <w:pStyle w:val="2"/>
        <w:jc w:val="center"/>
        <w:rPr>
          <w:rFonts w:hint="default" w:eastAsia="宋体"/>
          <w:strike w:val="0"/>
          <w:u w:val="none"/>
          <w:lang w:val="en-US" w:eastAsia="zh-CN"/>
        </w:rPr>
      </w:pPr>
      <w:r>
        <w:rPr>
          <w:rFonts w:hint="eastAsia" w:ascii="宋体" w:hAnsi="宋体"/>
          <w:b/>
          <w:strike w:val="0"/>
          <w:dstrike w:val="0"/>
          <w:sz w:val="44"/>
          <w:szCs w:val="44"/>
          <w:u w:val="none"/>
          <w:lang w:val="en-US" w:eastAsia="zh-CN"/>
        </w:rPr>
        <w:t>房屋征收补偿安置方案</w:t>
      </w:r>
    </w:p>
    <w:p>
      <w:pPr>
        <w:spacing w:line="460" w:lineRule="exact"/>
        <w:rPr>
          <w:u w:val="none"/>
        </w:rPr>
      </w:pPr>
    </w:p>
    <w:p>
      <w:pPr>
        <w:adjustRightInd w:val="0"/>
        <w:snapToGrid w:val="0"/>
        <w:spacing w:line="43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因</w:t>
      </w:r>
      <w:r>
        <w:rPr>
          <w:rFonts w:hint="eastAsia" w:ascii="仿宋" w:hAnsi="仿宋" w:eastAsia="仿宋" w:cs="仿宋"/>
          <w:bCs/>
          <w:spacing w:val="-6"/>
          <w:kern w:val="0"/>
          <w:sz w:val="32"/>
          <w:szCs w:val="32"/>
          <w:highlight w:val="none"/>
          <w:lang w:val="en-US" w:eastAsia="zh-CN"/>
        </w:rPr>
        <w:t>福峰路南段道路工程</w:t>
      </w:r>
      <w:r>
        <w:rPr>
          <w:rFonts w:hint="eastAsia" w:ascii="仿宋" w:hAnsi="仿宋" w:eastAsia="仿宋" w:cs="仿宋"/>
          <w:bCs/>
          <w:spacing w:val="-6"/>
          <w:kern w:val="0"/>
          <w:sz w:val="32"/>
          <w:szCs w:val="32"/>
          <w:highlight w:val="none"/>
        </w:rPr>
        <w:t>项目建设需要，拟征收该项目红线范围内所有房屋（具体范围以选址红线图为准），现按照《国有土地上房屋征收与补偿条例》、《福建省实施&lt;国有土地上房屋征收与补偿条例&gt;办法》、《福州市房屋征收补偿实施细则》（2021年修订版）、</w:t>
      </w:r>
      <w:r>
        <w:rPr>
          <w:rFonts w:hint="eastAsia" w:ascii="仿宋" w:hAnsi="仿宋" w:eastAsia="仿宋" w:cs="仿宋"/>
          <w:sz w:val="32"/>
          <w:szCs w:val="32"/>
          <w:highlight w:val="none"/>
          <w:lang w:eastAsia="zh-CN"/>
        </w:rPr>
        <w:t>《福州市人民政府办公厅关于进一步盘活使用存量安置型商品房和配建安置房房源的实施意见》、</w:t>
      </w:r>
      <w:r>
        <w:rPr>
          <w:rFonts w:hint="eastAsia" w:ascii="仿宋" w:hAnsi="仿宋" w:eastAsia="仿宋" w:cs="仿宋"/>
          <w:sz w:val="32"/>
          <w:szCs w:val="32"/>
          <w:highlight w:val="none"/>
        </w:rPr>
        <w:t>《关于进一步完善旧屋区改造统筹安排调度机制的实施意见（试行）》等相关规定要求，结合本地块的实际情况，特制定如下房屋征收补偿方案。</w:t>
      </w:r>
    </w:p>
    <w:p>
      <w:pPr>
        <w:pStyle w:val="3"/>
        <w:spacing w:line="436" w:lineRule="exact"/>
        <w:ind w:left="0" w:firstLine="640" w:firstLineChars="200"/>
        <w:rPr>
          <w:rFonts w:hint="eastAsia" w:ascii="黑体" w:hAnsi="黑体" w:eastAsia="黑体" w:cs="黑体"/>
          <w:color w:val="000000"/>
          <w:kern w:val="2"/>
          <w:sz w:val="32"/>
          <w:szCs w:val="32"/>
          <w:highlight w:val="none"/>
        </w:rPr>
      </w:pPr>
      <w:r>
        <w:rPr>
          <w:rFonts w:hint="eastAsia" w:ascii="黑体" w:hAnsi="黑体" w:eastAsia="黑体" w:cs="黑体"/>
          <w:color w:val="000000"/>
          <w:kern w:val="2"/>
          <w:sz w:val="32"/>
          <w:szCs w:val="32"/>
          <w:highlight w:val="none"/>
        </w:rPr>
        <w:t>一、征收补偿对象及方式</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凡本征收范围(具体以项目红线图为准)的被征收人列入征收补偿对象，被征收房屋属个人或单位所有的，以不动产权证书（含房屋所有权证，下同）或建筑许可执照（建设工程规划许可证，同一人加层扩建除外）为计户和补偿依据，被征收人应当依据权属证书记载的房屋用途、性质和面积选择产权调换或货币补偿。持有建筑许可执照（建设工程规划许可证）未建设的不予补偿。被征收房屋属出租国有公房的，以公房租赁凭证（租折或租赁合同）为计户和补偿依据。</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（二）本地块征收补偿的方式:实行货币补偿、对接购买安置型商品房或产权调换相结合的方式。</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1、同一幢房屋分户补偿安置的，一律实行实物安置，不得实行货币补偿。</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2、安置面积小于等于60平方米的，原则上实行实物安置；安置面积大于60平方米的，原则上实物安置面积不得少于60平方米。</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3、无产权房屋确认补偿安置面积后，选择实物安置的比例不得低于50%。</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4、征收下列情形的房屋原则上实行产权调换，不作货币补偿：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（1）被征收房屋的共有人或被征收国有房产的各使用人对补偿方式的选择达不成一致意见的；</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（2）被征收房屋产权有纠纷、权属不清或产权人下落不明的；</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（3）被征收房屋设有抵押权的，抵押权人和抵押人未重新设立抵押权或抵押人未清偿债务的。</w:t>
      </w:r>
    </w:p>
    <w:p>
      <w:pPr>
        <w:pStyle w:val="2"/>
        <w:spacing w:line="436" w:lineRule="exact"/>
        <w:ind w:firstLine="616" w:firstLineChars="200"/>
        <w:rPr>
          <w:rFonts w:hint="eastAsia" w:ascii="仿宋" w:hAnsi="仿宋" w:eastAsia="仿宋" w:cs="仿宋"/>
          <w:bCs/>
          <w:spacing w:val="-6"/>
          <w:kern w:val="0"/>
          <w:sz w:val="32"/>
          <w:szCs w:val="32"/>
          <w:highlight w:val="none"/>
        </w:rPr>
      </w:pPr>
      <w:r>
        <w:rPr>
          <w:rFonts w:hint="eastAsia" w:ascii="仿宋" w:hAnsi="仿宋" w:eastAsia="仿宋" w:cs="仿宋"/>
          <w:bCs/>
          <w:spacing w:val="-6"/>
          <w:kern w:val="0"/>
          <w:sz w:val="32"/>
          <w:szCs w:val="32"/>
          <w:highlight w:val="none"/>
        </w:rPr>
        <w:t>5、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（三）建筑面积计算</w:t>
      </w:r>
    </w:p>
    <w:p>
      <w:pPr>
        <w:adjustRightInd w:val="0"/>
        <w:snapToGrid w:val="0"/>
        <w:spacing w:line="436" w:lineRule="exact"/>
        <w:ind w:firstLine="640" w:firstLineChars="200"/>
        <w:rPr>
          <w:rFonts w:hint="eastAsia" w:ascii="仿宋" w:hAnsi="仿宋" w:eastAsia="仿宋" w:cs="仿宋"/>
          <w:color w:val="333333"/>
          <w:sz w:val="32"/>
          <w:szCs w:val="32"/>
          <w:highlight w:val="none"/>
        </w:rPr>
      </w:pPr>
      <w:r>
        <w:rPr>
          <w:rFonts w:hint="eastAsia" w:ascii="仿宋" w:hAnsi="仿宋" w:eastAsia="仿宋" w:cs="仿宋"/>
          <w:sz w:val="32"/>
          <w:szCs w:val="32"/>
          <w:highlight w:val="none"/>
        </w:rPr>
        <w:t>1、被征收房屋产权建筑面积以所有权证记载的建筑面积为准；未经登记房屋的建筑面积按国家标准《房产测量规范》和《福州市房屋面积计算细则》的规定计算。</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adjustRightInd w:val="0"/>
        <w:snapToGrid w:val="0"/>
        <w:spacing w:line="436"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二、住宅房屋征收补偿安置</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（一）被征收人选择货币补偿并按整体区位评估方式结算货币补偿金额的，货币补偿金额=确认的房屋合法建筑面积×（区位补偿价</w:t>
      </w:r>
      <w:r>
        <w:rPr>
          <w:rFonts w:hint="eastAsia" w:ascii="仿宋" w:hAnsi="仿宋" w:eastAsia="仿宋" w:cs="仿宋"/>
          <w:sz w:val="32"/>
          <w:szCs w:val="32"/>
          <w:highlight w:val="none"/>
          <w:u w:val="single"/>
        </w:rPr>
        <w:t>1</w:t>
      </w:r>
      <w:r>
        <w:rPr>
          <w:rFonts w:ascii="仿宋" w:hAnsi="仿宋" w:eastAsia="仿宋" w:cs="仿宋"/>
          <w:sz w:val="32"/>
          <w:szCs w:val="32"/>
          <w:highlight w:val="none"/>
          <w:u w:val="single"/>
        </w:rPr>
        <w:t>0148</w:t>
      </w:r>
      <w:r>
        <w:rPr>
          <w:rFonts w:hint="eastAsia" w:ascii="仿宋" w:hAnsi="仿宋" w:eastAsia="仿宋" w:cs="仿宋"/>
          <w:sz w:val="32"/>
          <w:szCs w:val="32"/>
          <w:highlight w:val="none"/>
        </w:rPr>
        <w:t>元/㎡+被征收房屋建安综合单价×成新率），同时给予货币奖励</w:t>
      </w:r>
      <w:r>
        <w:rPr>
          <w:rFonts w:hint="eastAsia" w:ascii="仿宋" w:hAnsi="仿宋" w:eastAsia="仿宋" w:cs="仿宋"/>
          <w:sz w:val="32"/>
          <w:szCs w:val="32"/>
          <w:highlight w:val="none"/>
          <w:u w:val="single"/>
          <w:lang w:val="en-US" w:eastAsia="zh-CN"/>
        </w:rPr>
        <w:t>400</w:t>
      </w:r>
      <w:r>
        <w:rPr>
          <w:rFonts w:hint="eastAsia" w:ascii="仿宋" w:hAnsi="仿宋" w:eastAsia="仿宋" w:cs="仿宋"/>
          <w:sz w:val="32"/>
          <w:szCs w:val="32"/>
          <w:highlight w:val="none"/>
        </w:rPr>
        <w:t>元/㎡。</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被征收人选择分户评估的，被征收房屋价格按市场评估价格确定。</w:t>
      </w:r>
    </w:p>
    <w:p>
      <w:pPr>
        <w:tabs>
          <w:tab w:val="left" w:pos="501"/>
        </w:tabs>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（二）安置型商品房（产权调换）地点及销售均价（对接价）</w:t>
      </w:r>
    </w:p>
    <w:p>
      <w:pPr>
        <w:keepNext w:val="0"/>
        <w:keepLines w:val="0"/>
        <w:pageBreakBefore w:val="0"/>
        <w:kinsoku/>
        <w:overflowPunct/>
        <w:topLinePunct w:val="0"/>
        <w:autoSpaceDE/>
        <w:autoSpaceDN/>
        <w:bidi w:val="0"/>
        <w:spacing w:line="430" w:lineRule="exact"/>
        <w:ind w:firstLine="643" w:firstLineChars="200"/>
        <w:textAlignment w:val="auto"/>
        <w:rPr>
          <w:rFonts w:hint="default" w:ascii="仿宋" w:hAnsi="仿宋" w:eastAsia="仿宋" w:cs="仿宋"/>
          <w:b/>
          <w:bCs/>
          <w:strike w:val="0"/>
          <w:dstrike w:val="0"/>
          <w:sz w:val="32"/>
          <w:szCs w:val="32"/>
          <w:highlight w:val="none"/>
          <w:lang w:val="en-US" w:eastAsia="zh-CN"/>
        </w:rPr>
      </w:pPr>
      <w:r>
        <w:rPr>
          <w:rFonts w:hint="eastAsia" w:ascii="仿宋" w:hAnsi="仿宋" w:eastAsia="仿宋" w:cs="仿宋"/>
          <w:b/>
          <w:bCs/>
          <w:strike w:val="0"/>
          <w:dstrike w:val="0"/>
          <w:sz w:val="32"/>
          <w:szCs w:val="32"/>
          <w:highlight w:val="none"/>
          <w:lang w:val="en-US" w:eastAsia="zh-CN"/>
        </w:rPr>
        <w:t>现房：</w:t>
      </w:r>
    </w:p>
    <w:p>
      <w:pPr>
        <w:keepNext w:val="0"/>
        <w:keepLines w:val="0"/>
        <w:pageBreakBefore w:val="0"/>
        <w:kinsoku/>
        <w:overflowPunct/>
        <w:topLinePunct w:val="0"/>
        <w:autoSpaceDE/>
        <w:autoSpaceDN/>
        <w:bidi w:val="0"/>
        <w:spacing w:line="430" w:lineRule="exact"/>
        <w:ind w:firstLine="640" w:firstLineChars="200"/>
        <w:textAlignment w:val="auto"/>
        <w:rPr>
          <w:rFonts w:hint="eastAsia" w:ascii="仿宋" w:hAnsi="仿宋" w:eastAsia="仿宋" w:cs="仿宋"/>
          <w:b w:val="0"/>
          <w:bCs w:val="0"/>
          <w:strike w:val="0"/>
          <w:dstrike w:val="0"/>
          <w:sz w:val="32"/>
          <w:szCs w:val="32"/>
          <w:highlight w:val="none"/>
          <w:lang w:val="en-US" w:eastAsia="zh-CN"/>
        </w:rPr>
      </w:pPr>
      <w:r>
        <w:rPr>
          <w:rFonts w:hint="eastAsia" w:ascii="仿宋" w:hAnsi="仿宋" w:eastAsia="仿宋" w:cs="仿宋"/>
          <w:b w:val="0"/>
          <w:bCs w:val="0"/>
          <w:strike w:val="0"/>
          <w:dstrike w:val="0"/>
          <w:sz w:val="32"/>
          <w:szCs w:val="32"/>
          <w:highlight w:val="none"/>
          <w:lang w:val="en-US" w:eastAsia="zh-CN"/>
        </w:rPr>
        <w:t>熙悦府，销售均价13641元/㎡；</w:t>
      </w:r>
    </w:p>
    <w:p>
      <w:pPr>
        <w:keepNext w:val="0"/>
        <w:keepLines w:val="0"/>
        <w:pageBreakBefore w:val="0"/>
        <w:kinsoku/>
        <w:overflowPunct/>
        <w:topLinePunct w:val="0"/>
        <w:autoSpaceDE/>
        <w:autoSpaceDN/>
        <w:bidi w:val="0"/>
        <w:spacing w:line="430" w:lineRule="exact"/>
        <w:ind w:firstLine="640" w:firstLineChars="200"/>
        <w:textAlignment w:val="auto"/>
        <w:rPr>
          <w:rFonts w:hint="eastAsia" w:ascii="仿宋" w:hAnsi="仿宋" w:eastAsia="仿宋" w:cs="仿宋"/>
          <w:b w:val="0"/>
          <w:bCs w:val="0"/>
          <w:strike w:val="0"/>
          <w:dstrike w:val="0"/>
          <w:sz w:val="32"/>
          <w:szCs w:val="32"/>
          <w:highlight w:val="none"/>
          <w:lang w:val="en-US" w:eastAsia="zh-CN"/>
        </w:rPr>
      </w:pPr>
      <w:r>
        <w:rPr>
          <w:rFonts w:hint="default" w:ascii="仿宋" w:hAnsi="仿宋" w:eastAsia="仿宋" w:cs="仿宋"/>
          <w:b w:val="0"/>
          <w:bCs w:val="0"/>
          <w:strike w:val="0"/>
          <w:dstrike w:val="0"/>
          <w:sz w:val="32"/>
          <w:szCs w:val="32"/>
          <w:highlight w:val="none"/>
          <w:lang w:val="en-US" w:eastAsia="zh-CN"/>
        </w:rPr>
        <w:t>世茂理想城一期、二期，销售均价13641元/㎡</w:t>
      </w:r>
      <w:r>
        <w:rPr>
          <w:rFonts w:hint="eastAsia" w:ascii="仿宋" w:hAnsi="仿宋" w:eastAsia="仿宋" w:cs="仿宋"/>
          <w:b w:val="0"/>
          <w:bCs w:val="0"/>
          <w:strike w:val="0"/>
          <w:dstrike w:val="0"/>
          <w:sz w:val="32"/>
          <w:szCs w:val="32"/>
          <w:highlight w:val="none"/>
          <w:lang w:val="en-US" w:eastAsia="zh-CN"/>
        </w:rPr>
        <w:t>；</w:t>
      </w:r>
    </w:p>
    <w:p>
      <w:pPr>
        <w:spacing w:line="436" w:lineRule="exact"/>
        <w:ind w:firstLine="640" w:firstLineChars="200"/>
        <w:rPr>
          <w:rFonts w:hint="eastAsia" w:ascii="仿宋" w:hAnsi="仿宋" w:eastAsia="仿宋" w:cs="仿宋"/>
          <w:b w:val="0"/>
          <w:bCs w:val="0"/>
          <w:strike w:val="0"/>
          <w:dstrike w:val="0"/>
          <w:sz w:val="32"/>
          <w:szCs w:val="32"/>
          <w:highlight w:val="none"/>
          <w:lang w:val="en-US" w:eastAsia="zh-CN"/>
        </w:rPr>
      </w:pPr>
      <w:r>
        <w:rPr>
          <w:rFonts w:hint="eastAsia" w:ascii="仿宋" w:hAnsi="仿宋" w:eastAsia="仿宋" w:cs="仿宋"/>
          <w:b w:val="0"/>
          <w:bCs w:val="0"/>
          <w:strike w:val="0"/>
          <w:dstrike w:val="0"/>
          <w:sz w:val="32"/>
          <w:szCs w:val="32"/>
          <w:highlight w:val="none"/>
          <w:lang w:val="en-US" w:eastAsia="zh-CN"/>
        </w:rPr>
        <w:t>盈福雅苑（盈福壹號）,销售均价14860元/㎡。</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以上房源的面积最终以市不动产登记和交易中心核定的产权登记面积为准。被征收人选择两套（处）或两套（处）以上安置型商品房的，只能享受一次上靠标准房型进行安置。</w:t>
      </w:r>
    </w:p>
    <w:p>
      <w:pPr>
        <w:adjustRightInd w:val="0"/>
        <w:snapToGrid w:val="0"/>
        <w:spacing w:line="430" w:lineRule="exact"/>
        <w:ind w:firstLine="640" w:firstLineChars="200"/>
        <w:rPr>
          <w:rFonts w:ascii="仿宋" w:hAnsi="仿宋" w:eastAsia="仿宋" w:cs="仿宋"/>
          <w:color w:val="333333"/>
          <w:kern w:val="0"/>
          <w:sz w:val="32"/>
          <w:szCs w:val="32"/>
          <w:highlight w:val="none"/>
          <w:shd w:val="clear" w:color="auto" w:fill="FFFFFF"/>
          <w:lang w:bidi="ar"/>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w:t>
      </w:r>
      <w:r>
        <w:rPr>
          <w:rFonts w:ascii="仿宋" w:hAnsi="仿宋" w:eastAsia="仿宋" w:cs="仿宋"/>
          <w:sz w:val="32"/>
          <w:szCs w:val="32"/>
          <w:highlight w:val="none"/>
        </w:rPr>
        <w:t>安置型商品房</w:t>
      </w:r>
      <w:r>
        <w:rPr>
          <w:rFonts w:hint="eastAsia" w:ascii="仿宋" w:hAnsi="仿宋" w:eastAsia="仿宋" w:cs="仿宋"/>
          <w:color w:val="333333"/>
          <w:kern w:val="0"/>
          <w:sz w:val="32"/>
          <w:szCs w:val="32"/>
          <w:highlight w:val="none"/>
          <w:shd w:val="clear" w:color="auto" w:fill="FFFFFF"/>
          <w:lang w:bidi="ar"/>
        </w:rPr>
        <w:t>价格优惠</w:t>
      </w:r>
    </w:p>
    <w:p>
      <w:pPr>
        <w:adjustRightInd w:val="0"/>
        <w:snapToGrid w:val="0"/>
        <w:spacing w:line="430" w:lineRule="exact"/>
        <w:ind w:firstLine="640" w:firstLineChars="200"/>
        <w:rPr>
          <w:rFonts w:ascii="仿宋" w:hAnsi="仿宋" w:eastAsia="仿宋" w:cs="仿宋"/>
          <w:sz w:val="32"/>
          <w:szCs w:val="32"/>
          <w:highlight w:val="none"/>
        </w:rPr>
      </w:pPr>
      <w:r>
        <w:rPr>
          <w:rFonts w:ascii="仿宋" w:hAnsi="仿宋" w:eastAsia="仿宋" w:cs="仿宋"/>
          <w:strike w:val="0"/>
          <w:dstrike w:val="0"/>
          <w:sz w:val="32"/>
          <w:szCs w:val="32"/>
          <w:highlight w:val="none"/>
        </w:rPr>
        <w:t>对于202</w:t>
      </w:r>
      <w:r>
        <w:rPr>
          <w:rFonts w:hint="eastAsia" w:ascii="仿宋" w:hAnsi="仿宋" w:eastAsia="仿宋" w:cs="仿宋"/>
          <w:strike w:val="0"/>
          <w:dstrike w:val="0"/>
          <w:sz w:val="32"/>
          <w:szCs w:val="32"/>
          <w:highlight w:val="none"/>
          <w:lang w:val="en-US" w:eastAsia="zh-CN"/>
        </w:rPr>
        <w:t>3</w:t>
      </w:r>
      <w:r>
        <w:rPr>
          <w:rFonts w:ascii="仿宋" w:hAnsi="仿宋" w:eastAsia="仿宋" w:cs="仿宋"/>
          <w:strike w:val="0"/>
          <w:dstrike w:val="0"/>
          <w:sz w:val="32"/>
          <w:szCs w:val="32"/>
          <w:highlight w:val="none"/>
        </w:rPr>
        <w:t>年12月31日前取得竣工验收备案的安置型商品房项目</w:t>
      </w:r>
      <w:r>
        <w:rPr>
          <w:rFonts w:hint="eastAsia" w:ascii="仿宋" w:hAnsi="仿宋" w:eastAsia="仿宋" w:cs="仿宋"/>
          <w:strike w:val="0"/>
          <w:dstrike w:val="0"/>
          <w:sz w:val="32"/>
          <w:szCs w:val="32"/>
          <w:highlight w:val="none"/>
          <w:lang w:val="en-US" w:eastAsia="zh-CN"/>
        </w:rPr>
        <w:t>及出让地配建的安置房项目</w:t>
      </w:r>
      <w:r>
        <w:rPr>
          <w:rFonts w:hint="eastAsia" w:ascii="仿宋" w:hAnsi="仿宋" w:eastAsia="仿宋" w:cs="仿宋"/>
          <w:strike w:val="0"/>
          <w:dstrike w:val="0"/>
          <w:sz w:val="32"/>
          <w:szCs w:val="32"/>
          <w:highlight w:val="none"/>
        </w:rPr>
        <w:t>，</w:t>
      </w:r>
      <w:r>
        <w:rPr>
          <w:rFonts w:ascii="仿宋" w:hAnsi="仿宋" w:eastAsia="仿宋" w:cs="仿宋"/>
          <w:sz w:val="32"/>
          <w:szCs w:val="32"/>
          <w:highlight w:val="none"/>
        </w:rPr>
        <w:t>允许被征收人选择上调安置到105平方米以上</w:t>
      </w:r>
      <w:r>
        <w:rPr>
          <w:rFonts w:hint="eastAsia" w:ascii="仿宋" w:hAnsi="仿宋" w:eastAsia="仿宋" w:cs="仿宋"/>
          <w:sz w:val="32"/>
          <w:szCs w:val="32"/>
          <w:highlight w:val="none"/>
        </w:rPr>
        <w:t>（</w:t>
      </w:r>
      <w:r>
        <w:rPr>
          <w:rFonts w:ascii="仿宋" w:hAnsi="仿宋" w:eastAsia="仿宋" w:cs="仿宋"/>
          <w:sz w:val="32"/>
          <w:szCs w:val="32"/>
          <w:highlight w:val="none"/>
        </w:rPr>
        <w:t>含105平方米</w:t>
      </w:r>
      <w:r>
        <w:rPr>
          <w:rFonts w:hint="eastAsia" w:ascii="仿宋" w:hAnsi="仿宋" w:eastAsia="仿宋" w:cs="仿宋"/>
          <w:sz w:val="32"/>
          <w:szCs w:val="32"/>
          <w:highlight w:val="none"/>
        </w:rPr>
        <w:t>）</w:t>
      </w:r>
      <w:r>
        <w:rPr>
          <w:rFonts w:ascii="仿宋" w:hAnsi="仿宋" w:eastAsia="仿宋" w:cs="仿宋"/>
          <w:sz w:val="32"/>
          <w:szCs w:val="32"/>
          <w:highlight w:val="none"/>
        </w:rPr>
        <w:t>户型</w:t>
      </w:r>
      <w:r>
        <w:rPr>
          <w:rFonts w:hint="eastAsia" w:ascii="仿宋" w:hAnsi="仿宋" w:eastAsia="仿宋" w:cs="仿宋"/>
          <w:sz w:val="32"/>
          <w:szCs w:val="32"/>
          <w:highlight w:val="none"/>
        </w:rPr>
        <w:t>，</w:t>
      </w:r>
      <w:r>
        <w:rPr>
          <w:rFonts w:ascii="仿宋" w:hAnsi="仿宋" w:eastAsia="仿宋" w:cs="仿宋"/>
          <w:sz w:val="32"/>
          <w:szCs w:val="32"/>
          <w:highlight w:val="none"/>
        </w:rPr>
        <w:t>选择购买三环外的安置型商品房项目</w:t>
      </w:r>
      <w:r>
        <w:rPr>
          <w:rFonts w:hint="eastAsia" w:ascii="仿宋" w:hAnsi="仿宋" w:eastAsia="仿宋" w:cs="仿宋"/>
          <w:sz w:val="32"/>
          <w:szCs w:val="32"/>
          <w:highlight w:val="none"/>
        </w:rPr>
        <w:t>（世茂理想城一期、二期）</w:t>
      </w:r>
      <w:r>
        <w:rPr>
          <w:rFonts w:ascii="仿宋" w:hAnsi="仿宋" w:eastAsia="仿宋" w:cs="仿宋"/>
          <w:sz w:val="32"/>
          <w:szCs w:val="32"/>
          <w:highlight w:val="none"/>
        </w:rPr>
        <w:t>，上调增加的面积部分按市场评估价90</w:t>
      </w:r>
      <w:r>
        <w:rPr>
          <w:rFonts w:hint="eastAsia" w:ascii="仿宋" w:hAnsi="仿宋" w:eastAsia="仿宋" w:cs="仿宋"/>
          <w:sz w:val="32"/>
          <w:szCs w:val="32"/>
          <w:highlight w:val="none"/>
        </w:rPr>
        <w:t>%</w:t>
      </w:r>
      <w:r>
        <w:rPr>
          <w:rFonts w:ascii="仿宋" w:hAnsi="仿宋" w:eastAsia="仿宋" w:cs="仿宋"/>
          <w:sz w:val="32"/>
          <w:szCs w:val="32"/>
          <w:highlight w:val="none"/>
        </w:rPr>
        <w:t>计价。</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）被征收人选择整体区位评估方式结算购买安置型商品房（产权调换）差价的，差价（不含层次系数）=安置房面积×安置型商品房销售均价（存量安置房单价）－确认的房屋合法建筑面积×（区位补偿价</w:t>
      </w:r>
      <w:r>
        <w:rPr>
          <w:rFonts w:ascii="仿宋" w:hAnsi="仿宋" w:eastAsia="仿宋" w:cs="仿宋"/>
          <w:sz w:val="32"/>
          <w:szCs w:val="32"/>
          <w:highlight w:val="none"/>
          <w:u w:val="single"/>
        </w:rPr>
        <w:t>10148</w:t>
      </w:r>
      <w:r>
        <w:rPr>
          <w:rFonts w:hint="eastAsia" w:ascii="仿宋" w:hAnsi="仿宋" w:eastAsia="仿宋" w:cs="仿宋"/>
          <w:sz w:val="32"/>
          <w:szCs w:val="32"/>
          <w:highlight w:val="none"/>
        </w:rPr>
        <w:t>元/㎡+被征收房屋建安综合单价×成新率）-公摊补偿。在签约期限内签约搬迁，安置面积与被征收房屋确认的合法建筑面积相等部分按被征收房屋建安综合单价结合成新率与安置房建安综合单价之差给予不超过差价款50%的优惠奖励。</w:t>
      </w:r>
    </w:p>
    <w:p>
      <w:pPr>
        <w:adjustRightInd w:val="0"/>
        <w:snapToGrid w:val="0"/>
        <w:spacing w:line="436" w:lineRule="exact"/>
        <w:ind w:firstLine="640" w:firstLineChars="200"/>
        <w:rPr>
          <w:rFonts w:hint="eastAsia" w:ascii="仿宋" w:hAnsi="仿宋" w:eastAsia="仿宋" w:cs="仿宋"/>
          <w:color w:val="333333"/>
          <w:sz w:val="32"/>
          <w:szCs w:val="32"/>
          <w:highlight w:val="none"/>
        </w:rPr>
      </w:pPr>
      <w:r>
        <w:rPr>
          <w:rFonts w:hint="eastAsia" w:ascii="仿宋" w:hAnsi="仿宋" w:eastAsia="仿宋" w:cs="仿宋"/>
          <w:sz w:val="32"/>
          <w:szCs w:val="32"/>
          <w:highlight w:val="none"/>
        </w:rPr>
        <w:t>被征收人选择分户评估方式结算产权调换差价的，产权调换差价=安置房市场评估价-被征收房屋市场评估价。</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住宅实行产权调换的，根据被征收房屋确权面积加公摊补偿面积后就近上靠标准房型，或按照被征收房屋价格除以安置型商品房（或统建、配建安置房）均价所得面积就近上靠标准房型。被征收房屋价格=（区位补偿价</w:t>
      </w:r>
      <w:r>
        <w:rPr>
          <w:rFonts w:ascii="仿宋" w:hAnsi="仿宋" w:eastAsia="仿宋" w:cs="仿宋"/>
          <w:sz w:val="32"/>
          <w:szCs w:val="32"/>
          <w:highlight w:val="none"/>
          <w:u w:val="single"/>
        </w:rPr>
        <w:t>10148</w:t>
      </w:r>
      <w:r>
        <w:rPr>
          <w:rFonts w:hint="eastAsia" w:ascii="仿宋" w:hAnsi="仿宋" w:eastAsia="仿宋" w:cs="仿宋"/>
          <w:sz w:val="32"/>
          <w:szCs w:val="32"/>
          <w:highlight w:val="none"/>
        </w:rPr>
        <w:t>元/㎡+建安综合单价×成新率）×确认的房屋合法建筑面积+区位补偿价</w:t>
      </w:r>
      <w:r>
        <w:rPr>
          <w:rFonts w:ascii="仿宋" w:hAnsi="仿宋" w:eastAsia="仿宋" w:cs="仿宋"/>
          <w:sz w:val="32"/>
          <w:szCs w:val="32"/>
          <w:highlight w:val="none"/>
          <w:u w:val="single"/>
        </w:rPr>
        <w:t>10148</w:t>
      </w:r>
      <w:r>
        <w:rPr>
          <w:rFonts w:hint="eastAsia" w:ascii="仿宋" w:hAnsi="仿宋" w:eastAsia="仿宋" w:cs="仿宋"/>
          <w:sz w:val="32"/>
          <w:szCs w:val="32"/>
          <w:highlight w:val="none"/>
        </w:rPr>
        <w:t>元/㎡×公摊补偿面积+优惠补差奖励。</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标准房型面积为45、60、75、90、105、120、135平方米。</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住宅房屋在签约期限内签订协议搬迁的，按住宅房屋确认的合法建筑面积的10%给予公摊补偿（安置房为七层以下多层不带电梯房屋的除外），但每户最多不超过10平方米。公摊补偿面积并入产权面积计算区位补偿、货币奖励，并给予优惠补差奖励1900元/㎡，但不计房屋建安综合单价。</w:t>
      </w:r>
    </w:p>
    <w:p>
      <w:pPr>
        <w:adjustRightInd w:val="0"/>
        <w:snapToGrid w:val="0"/>
        <w:spacing w:line="436"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三、非住宅房屋征收补偿</w:t>
      </w:r>
    </w:p>
    <w:p>
      <w:pPr>
        <w:adjustRightInd w:val="0"/>
        <w:snapToGrid w:val="0"/>
        <w:spacing w:line="436" w:lineRule="exact"/>
        <w:ind w:firstLine="640" w:firstLineChars="200"/>
        <w:rPr>
          <w:rFonts w:hint="eastAsia" w:ascii="仿宋" w:hAnsi="仿宋" w:eastAsia="仿宋" w:cs="仿宋"/>
          <w:strike/>
          <w:sz w:val="32"/>
          <w:szCs w:val="32"/>
          <w:highlight w:val="none"/>
          <w:u w:val="single"/>
        </w:rPr>
      </w:pPr>
      <w:r>
        <w:rPr>
          <w:rFonts w:hint="eastAsia" w:ascii="仿宋" w:hAnsi="仿宋" w:eastAsia="仿宋" w:cs="仿宋"/>
          <w:sz w:val="32"/>
          <w:szCs w:val="32"/>
          <w:highlight w:val="none"/>
        </w:rPr>
        <w:t>（一）非住宅房屋征收原则上按不动产权证书（房屋所有权证或土地证）登记的用途实行货币补偿。</w:t>
      </w:r>
    </w:p>
    <w:p>
      <w:pPr>
        <w:pStyle w:val="2"/>
        <w:spacing w:line="436" w:lineRule="exact"/>
        <w:ind w:firstLine="640" w:firstLineChars="200"/>
        <w:rPr>
          <w:rFonts w:hint="eastAsia" w:ascii="仿宋" w:hAnsi="仿宋" w:eastAsia="仿宋" w:cs="仿宋"/>
          <w:strike/>
          <w:sz w:val="32"/>
          <w:szCs w:val="32"/>
          <w:highlight w:val="none"/>
          <w:u w:val="single"/>
        </w:rPr>
      </w:pPr>
      <w:r>
        <w:rPr>
          <w:rFonts w:hint="eastAsia" w:ascii="仿宋" w:hAnsi="仿宋" w:eastAsia="仿宋" w:cs="仿宋"/>
          <w:sz w:val="32"/>
          <w:szCs w:val="32"/>
          <w:highlight w:val="none"/>
        </w:rPr>
        <w:t>（二）非住宅房屋补偿计价方式</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rPr>
        <w:t>1.小街巷</w:t>
      </w:r>
      <w:r>
        <w:rPr>
          <w:rFonts w:hint="eastAsia" w:ascii="仿宋" w:hAnsi="仿宋" w:eastAsia="仿宋" w:cs="仿宋"/>
          <w:sz w:val="32"/>
          <w:szCs w:val="32"/>
          <w:highlight w:val="none"/>
        </w:rPr>
        <w:t>店面货币补偿计价方式：货币补偿金额=被征收营业性店面确认的合法建筑面积×（</w:t>
      </w:r>
      <w:r>
        <w:rPr>
          <w:rFonts w:ascii="仿宋" w:hAnsi="仿宋" w:eastAsia="仿宋" w:cs="仿宋"/>
          <w:sz w:val="32"/>
          <w:szCs w:val="32"/>
          <w:highlight w:val="none"/>
          <w:u w:val="single"/>
        </w:rPr>
        <w:t>10043</w:t>
      </w:r>
      <w:r>
        <w:rPr>
          <w:rFonts w:hint="eastAsia" w:ascii="仿宋" w:hAnsi="仿宋" w:eastAsia="仿宋" w:cs="仿宋"/>
          <w:sz w:val="32"/>
          <w:szCs w:val="32"/>
          <w:highlight w:val="none"/>
        </w:rPr>
        <w:t>元/㎡+被征收房屋重置价×成新率）。</w:t>
      </w:r>
    </w:p>
    <w:p>
      <w:pPr>
        <w:spacing w:line="436" w:lineRule="exact"/>
        <w:ind w:firstLine="640" w:firstLineChars="200"/>
        <w:rPr>
          <w:rFonts w:hint="eastAsia" w:ascii="仿宋" w:hAnsi="仿宋" w:eastAsia="仿宋" w:cs="仿宋"/>
          <w:sz w:val="32"/>
          <w:szCs w:val="32"/>
          <w:highlight w:val="none"/>
        </w:rPr>
      </w:pPr>
      <w:r>
        <w:rPr>
          <w:rFonts w:ascii="仿宋" w:hAnsi="仿宋" w:eastAsia="仿宋" w:cs="仿宋"/>
          <w:bCs/>
          <w:sz w:val="32"/>
          <w:szCs w:val="32"/>
          <w:highlight w:val="none"/>
        </w:rPr>
        <w:t>2</w:t>
      </w:r>
      <w:r>
        <w:rPr>
          <w:rFonts w:hint="eastAsia" w:ascii="仿宋" w:hAnsi="仿宋" w:eastAsia="仿宋" w:cs="仿宋"/>
          <w:bCs/>
          <w:sz w:val="32"/>
          <w:szCs w:val="32"/>
          <w:highlight w:val="none"/>
        </w:rPr>
        <w:t>.办公用房货币补偿计价方式:货币补偿金额=被征收办公用房确认的合法建筑面积×（</w:t>
      </w:r>
      <w:r>
        <w:rPr>
          <w:rFonts w:ascii="仿宋" w:hAnsi="仿宋" w:eastAsia="仿宋" w:cs="仿宋"/>
          <w:bCs/>
          <w:sz w:val="32"/>
          <w:szCs w:val="32"/>
          <w:highlight w:val="none"/>
          <w:u w:val="single"/>
        </w:rPr>
        <w:t>8076</w:t>
      </w:r>
      <w:r>
        <w:rPr>
          <w:rFonts w:hint="eastAsia" w:ascii="仿宋" w:hAnsi="仿宋" w:eastAsia="仿宋" w:cs="仿宋"/>
          <w:bCs/>
          <w:sz w:val="32"/>
          <w:szCs w:val="32"/>
          <w:highlight w:val="none"/>
        </w:rPr>
        <w:t>元/㎡+被征收房屋重置价×成新率)</w:t>
      </w:r>
    </w:p>
    <w:p>
      <w:pPr>
        <w:spacing w:line="436" w:lineRule="exact"/>
        <w:ind w:firstLine="640" w:firstLineChars="200"/>
        <w:rPr>
          <w:rFonts w:hint="eastAsia" w:ascii="仿宋" w:hAnsi="仿宋" w:eastAsia="仿宋" w:cs="仿宋"/>
          <w:bCs/>
          <w:sz w:val="32"/>
          <w:szCs w:val="32"/>
          <w:highlight w:val="none"/>
        </w:rPr>
      </w:pPr>
      <w:r>
        <w:rPr>
          <w:rFonts w:ascii="仿宋" w:hAnsi="仿宋" w:eastAsia="仿宋" w:cs="仿宋"/>
          <w:bCs/>
          <w:sz w:val="32"/>
          <w:szCs w:val="32"/>
          <w:highlight w:val="none"/>
        </w:rPr>
        <w:t>3</w:t>
      </w:r>
      <w:r>
        <w:rPr>
          <w:rFonts w:hint="eastAsia" w:ascii="仿宋" w:hAnsi="仿宋" w:eastAsia="仿宋" w:cs="仿宋"/>
          <w:bCs/>
          <w:sz w:val="32"/>
          <w:szCs w:val="32"/>
          <w:highlight w:val="none"/>
        </w:rPr>
        <w:t>.工业仓储用房货币补偿计价方式：货币补偿金额=被征收工业仓储类用房确认的合法建筑面积×（</w:t>
      </w:r>
      <w:r>
        <w:rPr>
          <w:rFonts w:ascii="仿宋" w:hAnsi="仿宋" w:eastAsia="仿宋" w:cs="仿宋"/>
          <w:bCs/>
          <w:sz w:val="32"/>
          <w:szCs w:val="32"/>
          <w:highlight w:val="none"/>
          <w:u w:val="single"/>
        </w:rPr>
        <w:t>993</w:t>
      </w:r>
      <w:r>
        <w:rPr>
          <w:rFonts w:hint="eastAsia" w:ascii="仿宋" w:hAnsi="仿宋" w:eastAsia="仿宋" w:cs="仿宋"/>
          <w:bCs/>
          <w:sz w:val="32"/>
          <w:szCs w:val="32"/>
          <w:highlight w:val="none"/>
        </w:rPr>
        <w:t>元/㎡+被征收房屋重置价×成新率）。</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1、在1984年1月5日《城市规划条例》生效前，将沿街底层第一自然间非营业性店面改为营业性店面的</w:t>
      </w:r>
      <w:r>
        <w:rPr>
          <w:rFonts w:hint="eastAsia" w:ascii="仿宋" w:hAnsi="仿宋" w:eastAsia="仿宋" w:cs="仿宋"/>
          <w:color w:val="333333"/>
          <w:sz w:val="32"/>
          <w:szCs w:val="32"/>
          <w:highlight w:val="none"/>
        </w:rPr>
        <w:t>，</w:t>
      </w:r>
      <w:r>
        <w:rPr>
          <w:rFonts w:hint="eastAsia" w:ascii="仿宋" w:hAnsi="仿宋" w:eastAsia="仿宋" w:cs="仿宋"/>
          <w:sz w:val="32"/>
          <w:szCs w:val="32"/>
          <w:highlight w:val="none"/>
        </w:rPr>
        <w:t>可按营业性店面给予货币补偿。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4、在2004年10月26日之后，将沿街非营业性店面改为营业性店面的，按原房用途给予补偿。</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（五）</w:t>
      </w:r>
      <w:r>
        <w:rPr>
          <w:rFonts w:hint="eastAsia" w:ascii="仿宋" w:hAnsi="仿宋" w:eastAsia="仿宋" w:cs="仿宋"/>
          <w:spacing w:val="-4"/>
          <w:sz w:val="32"/>
          <w:szCs w:val="32"/>
          <w:highlight w:val="none"/>
        </w:rPr>
        <w:t>被征收人在签约期限内签约搬迁并按整体区位评估价计价的，</w:t>
      </w:r>
      <w:r>
        <w:rPr>
          <w:rFonts w:hint="eastAsia" w:ascii="仿宋" w:hAnsi="仿宋" w:eastAsia="仿宋" w:cs="仿宋"/>
          <w:sz w:val="32"/>
          <w:szCs w:val="32"/>
          <w:highlight w:val="none"/>
        </w:rPr>
        <w:t>按以下标准给予搬迁奖励：</w:t>
      </w:r>
    </w:p>
    <w:p>
      <w:pPr>
        <w:spacing w:line="436"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小街巷店面</w:t>
      </w:r>
      <w:r>
        <w:rPr>
          <w:rFonts w:ascii="仿宋" w:hAnsi="仿宋" w:eastAsia="仿宋" w:cs="仿宋"/>
          <w:sz w:val="32"/>
          <w:szCs w:val="32"/>
          <w:highlight w:val="none"/>
          <w:u w:val="single"/>
        </w:rPr>
        <w:t>1004</w:t>
      </w:r>
      <w:r>
        <w:rPr>
          <w:rFonts w:hint="eastAsia" w:ascii="仿宋" w:hAnsi="仿宋" w:eastAsia="仿宋" w:cs="仿宋"/>
          <w:sz w:val="32"/>
          <w:szCs w:val="32"/>
          <w:highlight w:val="none"/>
        </w:rPr>
        <w:t>元/㎡，</w:t>
      </w:r>
      <w:r>
        <w:rPr>
          <w:rFonts w:hint="eastAsia" w:ascii="仿宋" w:hAnsi="仿宋" w:eastAsia="仿宋" w:cs="仿宋"/>
          <w:bCs/>
          <w:sz w:val="32"/>
          <w:szCs w:val="32"/>
          <w:highlight w:val="none"/>
        </w:rPr>
        <w:t>办公用房</w:t>
      </w:r>
      <w:r>
        <w:rPr>
          <w:rFonts w:hint="eastAsia" w:ascii="仿宋" w:hAnsi="仿宋" w:eastAsia="仿宋" w:cs="仿宋"/>
          <w:sz w:val="32"/>
          <w:szCs w:val="32"/>
          <w:highlight w:val="none"/>
          <w:u w:val="single"/>
          <w:lang w:val="en-US" w:eastAsia="zh-CN"/>
        </w:rPr>
        <w:t>808</w:t>
      </w:r>
      <w:r>
        <w:rPr>
          <w:rFonts w:hint="eastAsia" w:ascii="仿宋" w:hAnsi="仿宋" w:eastAsia="仿宋" w:cs="仿宋"/>
          <w:sz w:val="32"/>
          <w:szCs w:val="32"/>
          <w:highlight w:val="none"/>
        </w:rPr>
        <w:t>元/㎡，工业仓储用房</w:t>
      </w:r>
      <w:r>
        <w:rPr>
          <w:rFonts w:ascii="仿宋" w:hAnsi="仿宋" w:eastAsia="仿宋" w:cs="仿宋"/>
          <w:sz w:val="32"/>
          <w:szCs w:val="32"/>
          <w:highlight w:val="none"/>
          <w:u w:val="single"/>
        </w:rPr>
        <w:t>1522</w:t>
      </w:r>
      <w:r>
        <w:rPr>
          <w:rFonts w:hint="eastAsia" w:ascii="仿宋" w:hAnsi="仿宋" w:eastAsia="仿宋" w:cs="仿宋"/>
          <w:sz w:val="32"/>
          <w:szCs w:val="32"/>
          <w:highlight w:val="none"/>
        </w:rPr>
        <w:t>元/㎡。</w:t>
      </w:r>
    </w:p>
    <w:p>
      <w:pPr>
        <w:adjustRightInd w:val="0"/>
        <w:snapToGrid w:val="0"/>
        <w:spacing w:line="436" w:lineRule="exact"/>
        <w:ind w:firstLine="624" w:firstLineChars="200"/>
        <w:rPr>
          <w:rFonts w:hint="eastAsia" w:ascii="仿宋" w:hAnsi="仿宋" w:eastAsia="仿宋" w:cs="仿宋"/>
          <w:spacing w:val="-4"/>
          <w:sz w:val="32"/>
          <w:szCs w:val="32"/>
          <w:highlight w:val="none"/>
        </w:rPr>
      </w:pPr>
      <w:r>
        <w:rPr>
          <w:rFonts w:hint="eastAsia" w:ascii="仿宋" w:hAnsi="仿宋" w:eastAsia="仿宋" w:cs="仿宋"/>
          <w:spacing w:val="-4"/>
          <w:sz w:val="32"/>
          <w:szCs w:val="32"/>
          <w:highlight w:val="none"/>
        </w:rPr>
        <w:t>选择货币补偿的，另</w:t>
      </w:r>
      <w:r>
        <w:rPr>
          <w:rFonts w:hint="eastAsia" w:ascii="仿宋" w:hAnsi="仿宋" w:eastAsia="仿宋" w:cs="仿宋"/>
          <w:sz w:val="32"/>
          <w:szCs w:val="32"/>
          <w:highlight w:val="none"/>
        </w:rPr>
        <w:t>按以下标准给予</w:t>
      </w:r>
      <w:r>
        <w:rPr>
          <w:rFonts w:hint="eastAsia" w:ascii="仿宋" w:hAnsi="仿宋" w:eastAsia="仿宋" w:cs="仿宋"/>
          <w:spacing w:val="-4"/>
          <w:sz w:val="32"/>
          <w:szCs w:val="32"/>
          <w:highlight w:val="none"/>
        </w:rPr>
        <w:t>货币奖励：</w:t>
      </w:r>
    </w:p>
    <w:p>
      <w:pPr>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小街巷店面</w:t>
      </w:r>
      <w:r>
        <w:rPr>
          <w:rFonts w:ascii="仿宋" w:hAnsi="仿宋" w:eastAsia="仿宋" w:cs="仿宋"/>
          <w:sz w:val="32"/>
          <w:szCs w:val="32"/>
          <w:highlight w:val="none"/>
          <w:u w:val="single"/>
        </w:rPr>
        <w:t>1004</w:t>
      </w:r>
      <w:r>
        <w:rPr>
          <w:rFonts w:hint="eastAsia" w:ascii="仿宋" w:hAnsi="仿宋" w:eastAsia="仿宋" w:cs="仿宋"/>
          <w:sz w:val="32"/>
          <w:szCs w:val="32"/>
          <w:highlight w:val="none"/>
        </w:rPr>
        <w:t>元/㎡，</w:t>
      </w:r>
      <w:r>
        <w:rPr>
          <w:rFonts w:hint="eastAsia" w:ascii="仿宋" w:hAnsi="仿宋" w:eastAsia="仿宋" w:cs="仿宋"/>
          <w:bCs/>
          <w:sz w:val="32"/>
          <w:szCs w:val="32"/>
          <w:highlight w:val="none"/>
        </w:rPr>
        <w:t>办公用房</w:t>
      </w:r>
      <w:r>
        <w:rPr>
          <w:rFonts w:hint="eastAsia" w:ascii="仿宋" w:hAnsi="仿宋" w:eastAsia="仿宋" w:cs="仿宋"/>
          <w:sz w:val="32"/>
          <w:szCs w:val="32"/>
          <w:highlight w:val="none"/>
          <w:u w:val="single"/>
          <w:lang w:val="en-US" w:eastAsia="zh-CN"/>
        </w:rPr>
        <w:t>808</w:t>
      </w:r>
      <w:r>
        <w:rPr>
          <w:rFonts w:hint="eastAsia" w:ascii="仿宋" w:hAnsi="仿宋" w:eastAsia="仿宋" w:cs="仿宋"/>
          <w:sz w:val="32"/>
          <w:szCs w:val="32"/>
          <w:highlight w:val="none"/>
        </w:rPr>
        <w:t>元/㎡，工业仓储用房</w:t>
      </w:r>
      <w:r>
        <w:rPr>
          <w:rFonts w:ascii="仿宋" w:hAnsi="仿宋" w:eastAsia="仿宋" w:cs="仿宋"/>
          <w:sz w:val="32"/>
          <w:szCs w:val="32"/>
          <w:highlight w:val="none"/>
          <w:u w:val="single"/>
        </w:rPr>
        <w:t>1015</w:t>
      </w:r>
      <w:r>
        <w:rPr>
          <w:rFonts w:hint="eastAsia" w:ascii="仿宋" w:hAnsi="仿宋" w:eastAsia="仿宋" w:cs="仿宋"/>
          <w:sz w:val="32"/>
          <w:szCs w:val="32"/>
          <w:highlight w:val="none"/>
        </w:rPr>
        <w:t>元/㎡。</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被征收人选择分户评估方式结算货币补偿金额的，货币补偿金额按市场评估价格确定，在签约期限内签约搬迁的，</w:t>
      </w:r>
      <w:r>
        <w:rPr>
          <w:rFonts w:hint="eastAsia" w:ascii="仿宋" w:hAnsi="仿宋" w:eastAsia="仿宋" w:cs="仿宋"/>
          <w:spacing w:val="-4"/>
          <w:sz w:val="32"/>
          <w:szCs w:val="32"/>
          <w:highlight w:val="none"/>
        </w:rPr>
        <w:t>可给予被征收房屋分户评估价5％的搬迁奖励，选择货币补偿的，可给予被征收房屋分户评估价5％的货币奖励</w:t>
      </w:r>
      <w:r>
        <w:rPr>
          <w:rFonts w:hint="eastAsia" w:ascii="仿宋" w:hAnsi="仿宋" w:eastAsia="仿宋" w:cs="仿宋"/>
          <w:sz w:val="32"/>
          <w:szCs w:val="32"/>
          <w:highlight w:val="none"/>
        </w:rPr>
        <w:t>。</w:t>
      </w:r>
    </w:p>
    <w:p>
      <w:pPr>
        <w:adjustRightInd w:val="0"/>
        <w:snapToGrid w:val="0"/>
        <w:spacing w:line="436"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四、无产权房屋征收补偿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1、属1984年1月5日国务院《城市规划条例》生效前建设的无产权房屋，按原房屋建筑面积给予补偿安置。</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3、属1984年1月5日至2004年10月26日间，村集体组织出资在集体土地上建设的无产权房屋，按原房屋建筑面积的70%给予货币补偿。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属1984年1月5日至2004年10月26日间，行政机关、事业单位、各类企业出资在自有土地使用权范围内建设的无产权房屋，按原房屋建筑面积的50%给予货币补偿。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5、属2006年8月26日至2012年12月31日间建设的无产权房屋，在签约期限内签订协议并搬迁的，可给予不超过原房重置价结合成新率的50%自行搬迁补助，装修不予以补偿。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6、2012年12月31日前建设的猪舍、牛栏及简易搭盖的房屋或构筑物，在签约期限内搬迁的按30～70元/平方米给予补助，在征收期间仍饲养禽畜的，另给予30元/平方米的搬迁补贴。</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7、2012年12月31日后建设的无产权房屋不予补偿。</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对在农村集体土地上于2004年10月26日至2012年12月31日间建造的无产权房屋以及非本村人于2012年12月31日前建造的无产权房屋，建造人及其家庭成员在本市五城区范围内无他处房屋（含商品房、二手房）的，在签约期限内签约搬迁，按家庭人口配给无房户基本住房需求面积标准，基本住房需求面积不得大于原房面积：</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1、补助标准。2012年12月31日前建造的无产权成套集资房，在签约期限内签订协议并搬迁的，另给予210元/平方米的基础设施配套费补助。</w:t>
      </w:r>
    </w:p>
    <w:p>
      <w:pPr>
        <w:adjustRightInd w:val="0"/>
        <w:snapToGrid w:val="0"/>
        <w:spacing w:line="436"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于2004年10月26前由当地村委会以上组织牵头建设的无产权集资房，本村人购买的，可分别按本方案第四条第（一）点第1、2项补偿，但不得分户；非本村人购买的，除按规定给予补助和奖励外，另按购房指标面积给予安置型商品房销售均价（产权调换房屋对接价）15%的补助。当地村委会以上组织牵头建设的无产权集资房由当地镇（街道）、村（社区）出具证明确认。</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2、购房标准。</w:t>
      </w:r>
      <w:r>
        <w:rPr>
          <w:rFonts w:hint="eastAsia" w:ascii="仿宋" w:hAnsi="仿宋" w:eastAsia="仿宋" w:cs="仿宋"/>
          <w:sz w:val="32"/>
          <w:szCs w:val="32"/>
        </w:rPr>
        <w:t>按照建造人家庭人口数配给基本住房需求面积：户籍在本村的，按“1人户45平方米、2人户60平方米、3人及以上户90平方米”确定购房面积标准；户籍不在本村的，按“1人户45平方米，2人户60平方米，3人以上户75平方米”确定购房面积标准，原则上不予增房。</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购房价格。建造人户籍在征收范围内的，购房价格按对应购买的安置型商品房销售均价（产权调换房屋均价）的60%计算（未含层次差价）；建造人户籍不在征收范围内，但原籍在本村或被征收人户籍在本市其他县（市）、区的，购房价格按对应购买的安置型商品房销售均价的80%计算（未含层次差价）；建造人户籍不在本市范围，但在福建省范围内的，购房价格按对应购买的安置型商品房销售均价计算（未含层次差价）。</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4、过渡补助。正常过渡期限（36个月）内不发放过渡费，逾期安置的以安置的标准户型面积（被征收房屋原建筑面积小于安置的标准户型面积的，按被征收房屋原建筑面积）为基数按正常标准发放过渡费。</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五、签约期限</w:t>
      </w:r>
    </w:p>
    <w:p>
      <w:pPr>
        <w:pStyle w:val="2"/>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签约期：</w:t>
      </w:r>
      <w:r>
        <w:rPr>
          <w:rFonts w:hint="eastAsia" w:ascii="仿宋" w:hAnsi="仿宋" w:eastAsia="仿宋" w:cs="Times New Roman"/>
          <w:sz w:val="32"/>
          <w:szCs w:val="32"/>
          <w:highlight w:val="none"/>
          <w:lang w:val="en-GB"/>
        </w:rPr>
        <w:t>20</w:t>
      </w:r>
      <w:r>
        <w:rPr>
          <w:rFonts w:hint="eastAsia" w:ascii="仿宋" w:hAnsi="仿宋" w:eastAsia="仿宋" w:cs="Times New Roman"/>
          <w:sz w:val="32"/>
          <w:szCs w:val="32"/>
          <w:highlight w:val="none"/>
          <w:lang w:val="en-US" w:eastAsia="zh-CN"/>
        </w:rPr>
        <w:t>24</w:t>
      </w:r>
      <w:r>
        <w:rPr>
          <w:rFonts w:hint="eastAsia" w:ascii="仿宋" w:hAnsi="仿宋" w:eastAsia="仿宋" w:cs="Times New Roman"/>
          <w:sz w:val="32"/>
          <w:szCs w:val="32"/>
          <w:highlight w:val="none"/>
          <w:lang w:val="en-GB"/>
        </w:rPr>
        <w:t>年</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lang w:val="en-GB"/>
        </w:rPr>
        <w:t>月</w:t>
      </w:r>
      <w:r>
        <w:rPr>
          <w:rFonts w:hint="eastAsia" w:ascii="仿宋" w:hAnsi="仿宋" w:eastAsia="仿宋" w:cs="Times New Roman"/>
          <w:sz w:val="32"/>
          <w:szCs w:val="32"/>
          <w:highlight w:val="none"/>
          <w:lang w:val="en-US" w:eastAsia="zh-CN"/>
        </w:rPr>
        <w:t>12</w:t>
      </w:r>
      <w:r>
        <w:rPr>
          <w:rFonts w:hint="eastAsia" w:ascii="仿宋" w:hAnsi="仿宋" w:eastAsia="仿宋" w:cs="Times New Roman"/>
          <w:sz w:val="32"/>
          <w:szCs w:val="32"/>
          <w:highlight w:val="none"/>
          <w:lang w:val="en-GB"/>
        </w:rPr>
        <w:t>日至202</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lang w:val="en-GB"/>
        </w:rPr>
        <w:t>年</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lang w:val="en-GB"/>
        </w:rPr>
        <w:t>月</w:t>
      </w:r>
      <w:r>
        <w:rPr>
          <w:rFonts w:hint="eastAsia" w:ascii="仿宋" w:hAnsi="仿宋" w:eastAsia="仿宋" w:cs="Times New Roman"/>
          <w:sz w:val="32"/>
          <w:szCs w:val="32"/>
          <w:highlight w:val="none"/>
          <w:lang w:val="en-US" w:eastAsia="zh-CN"/>
        </w:rPr>
        <w:t>26</w:t>
      </w:r>
      <w:r>
        <w:rPr>
          <w:rFonts w:hint="eastAsia" w:ascii="仿宋" w:hAnsi="仿宋" w:eastAsia="仿宋" w:cs="Times New Roman"/>
          <w:sz w:val="32"/>
          <w:szCs w:val="32"/>
          <w:highlight w:val="none"/>
          <w:lang w:val="en-GB"/>
        </w:rPr>
        <w:t>日</w:t>
      </w:r>
      <w:r>
        <w:rPr>
          <w:rFonts w:hint="eastAsia" w:ascii="仿宋" w:hAnsi="仿宋" w:eastAsia="仿宋" w:cs="仿宋"/>
          <w:sz w:val="32"/>
          <w:szCs w:val="32"/>
        </w:rPr>
        <w:t>。</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六、过渡期保障机制</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（一）住宅房屋选择产权调换并自行过渡的，应按确认的合法建筑面积向被征收人发放过渡费。过渡费标准为四至六级地段每月每平方米12元。</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对选择货币补偿和现房安置的被征收人给予6个月过渡费。</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在签约期限内签约搬迁的，对住宅房屋被征收人每户给予2万元的租房补贴。</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w:t>
      </w:r>
      <w:r>
        <w:rPr>
          <w:rFonts w:hint="eastAsia" w:ascii="仿宋" w:hAnsi="仿宋" w:eastAsia="仿宋" w:cs="Times New Roman"/>
          <w:sz w:val="32"/>
          <w:szCs w:val="32"/>
          <w:highlight w:val="none"/>
          <w:lang w:val="en-GB"/>
        </w:rPr>
        <w:t>202</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lang w:val="en-GB"/>
        </w:rPr>
        <w:t>年</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lang w:val="en-GB"/>
        </w:rPr>
        <w:t>月</w:t>
      </w:r>
      <w:r>
        <w:rPr>
          <w:rFonts w:hint="eastAsia" w:ascii="仿宋" w:hAnsi="仿宋" w:eastAsia="仿宋" w:cs="Times New Roman"/>
          <w:sz w:val="32"/>
          <w:szCs w:val="32"/>
          <w:highlight w:val="none"/>
          <w:lang w:val="en-US" w:eastAsia="zh-CN"/>
        </w:rPr>
        <w:t>26</w:t>
      </w:r>
      <w:r>
        <w:rPr>
          <w:rFonts w:hint="eastAsia" w:ascii="仿宋" w:hAnsi="仿宋" w:eastAsia="仿宋" w:cs="Times New Roman"/>
          <w:sz w:val="32"/>
          <w:szCs w:val="32"/>
          <w:highlight w:val="none"/>
          <w:lang w:val="en-GB"/>
        </w:rPr>
        <w:t>日</w:t>
      </w:r>
      <w:r>
        <w:rPr>
          <w:rFonts w:hint="eastAsia" w:ascii="仿宋" w:hAnsi="仿宋" w:eastAsia="仿宋" w:cs="仿宋"/>
          <w:sz w:val="32"/>
          <w:szCs w:val="32"/>
        </w:rPr>
        <w:t>）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七、其他激励机制</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（一）被征收人或其直系亲属为五保户、低保户、孤寡老人的，给予每户3万元的装修补助。</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（二）征收住宅房屋，下列情形经权利人具结并经村（社区）、镇（街道）确认及公示无异议后，按补足45平方米进行补偿安置，但补足部分不计算旧房建安综合造价和成套房补助：</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1、被征收住宅确认的合法建筑面积小于45平方米，被征收人户籍在本市五城区，且被征收人及其配偶在本市五城区范围内无其他房屋（含住宅和非住宅商品房、二手房）；</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历史老宅产权分割、自建房或房改房转让的、2013年5月20日后离婚或将商品房、二手房转让以及2006年7月24日后对房屋进行产权分析，致使产权面积少于45平方米的不适用本规定。</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（三）住宅搬迁补助费为15元/平方米，非住宅搬迁补助费为20元/平方米。搬迁补助费不足1000元的按1000元计算。</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（四）被征收人在签约期限内签约并搬迁交房的，按照下列标准给予提前搬迁奖励。</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征收店面、办公用房、厂房、仓储性用房等非住宅房屋，按确权面积每平方米给予不超过100元的提前搬迁奖励。</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征收同一户被征收人的住宅和非住宅的，合计确权面积小于300平方米（含300平方米）按照不超过3万元给予提前搬迁奖励，超过300平方米的，按照上述住宅和非住宅标准分别计算提前搬迁奖励。</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（五）被征收人在签约期限内签约搬迁的，住宅房屋可按确认的合法建筑面积一次性给予50元/平方米的安家补助。</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（六）安置房内部未设隔墙、未配置洁具的，应以产权调换房屋标准户型为基数给予80元/平方米的补助。</w:t>
      </w:r>
    </w:p>
    <w:p>
      <w:pPr>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（七）电话补助费58元/户，有线电视补助费50元/户，宽带网络迁移补助费108元/户。</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八、附则</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（一）被征收房屋建安综合单价、重置价标准和二次装修项目补偿计价标准：</w:t>
      </w:r>
    </w:p>
    <w:p>
      <w:pPr>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被征收住宅房屋建安综合单价依据榕房〔2017〕89号文标准执行。</w:t>
      </w:r>
    </w:p>
    <w:p>
      <w:pPr>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安置型商品房建安综合单价依据榕房综〔2020〕224号文件调整为3800元/㎡。</w:t>
      </w:r>
    </w:p>
    <w:p>
      <w:pPr>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重置价标准和二次装修项目依据榕政办〔2013〕100号文标准执行。</w:t>
      </w:r>
    </w:p>
    <w:p>
      <w:pPr>
        <w:adjustRightInd w:val="0"/>
        <w:snapToGrid w:val="0"/>
        <w:spacing w:line="43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（二）被征收房屋层高超过4米（含4米）的，建安综合单价或重置价标准提高20％；层高超过6米（含6米）的，建安综合单价或重置价标准提高40％；层高超过8米（含8米）的，建安综合单价或重置价标准提高60％。</w:t>
      </w:r>
    </w:p>
    <w:p>
      <w:pPr>
        <w:adjustRightInd w:val="0"/>
        <w:snapToGrid w:val="0"/>
        <w:spacing w:line="43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九、超出签约期限搬迁的处理办法</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1、凡超过签约期限搬迁的，不享受以上规定的一切奖励及优惠政策，坚决杜绝超期限搬迁反而多得利的现象发生。</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2、房屋征收部门与被征收人在征收补偿方案确定的签约期限内达不成补偿协议，或者被征收房屋所有权人不明确的，由房屋征收部门报请作出房屋征收决定的晋安区人民政府依照本条例的规定，按照征收补偿方案作出补偿决定。被征收人在法定期限内不申请行政复议或者不提起行政诉讼，在补偿决定规定的期限内又不搬迁的，由作出房屋征收决定的晋安区人民政府依法申请人民法院强制执行。</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强制执行申请书应当附具补偿金额和专户存储账号、产权调换房屋和周转用房的地点和面积等材料。</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3、故意扰乱征收工作程序、煽动闹事、妨碍征收工作人员正常工作的，由公安机关按照《治安管理处罚法》规定处罚，构成犯罪的由司法机关追究刑事责任。</w:t>
      </w:r>
    </w:p>
    <w:p>
      <w:pPr>
        <w:spacing w:line="430" w:lineRule="exact"/>
        <w:ind w:firstLine="640" w:firstLineChars="200"/>
        <w:rPr>
          <w:rFonts w:ascii="黑体" w:hAnsi="黑体" w:eastAsia="黑体" w:cs="黑体"/>
          <w:sz w:val="32"/>
          <w:szCs w:val="32"/>
        </w:rPr>
      </w:pPr>
      <w:r>
        <w:rPr>
          <w:rFonts w:hint="eastAsia" w:ascii="黑体" w:hAnsi="黑体" w:eastAsia="黑体" w:cs="黑体"/>
          <w:sz w:val="32"/>
          <w:szCs w:val="32"/>
        </w:rPr>
        <w:t>十、房屋搬迁程序</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1、由房屋征收实施单位将实地丈量的房屋面积、房屋结构、房屋成新率等交由被征收人核对，在核对无误情况下按规定时间及时回执。</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2、被征收人在搬迁时应向水电部门交清费用，属相关部门安装总表，不得私自拆除、更换，应由相关部门统一拆除，否则将追究当事人责任。</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3、被征收人应当按规定的期限签订协议且搬迁完毕，并办好封房移交手续。选房顺序号抽签办法及时间、地点等由房屋征收实施单位另行通知。</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4、被征收人在签订协议时，应提交房屋产权证件、建筑许可证、土地使用证、工商营业执照、税务登记证明、闭路电视缴费发票、电话话费清单等原件，并随带身份证及身份证复印件2份、户口簿复印件1份和印章。</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5、回迁、抽签、选房等事宜，在福州日报上刊登通知，刊登之日为通知送达时间，逾期到场抽签或选房视为弃权，并在公证机关公证下，由工作人员代为抽签、选房。</w:t>
      </w:r>
    </w:p>
    <w:p>
      <w:pPr>
        <w:spacing w:line="430" w:lineRule="exact"/>
        <w:ind w:firstLine="640" w:firstLineChars="200"/>
        <w:rPr>
          <w:rFonts w:ascii="仿宋" w:hAnsi="仿宋" w:eastAsia="仿宋" w:cs="仿宋"/>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仿宋" w:hAnsi="仿宋" w:eastAsia="仿宋" w:cs="仿宋"/>
          <w:sz w:val="32"/>
          <w:szCs w:val="32"/>
        </w:rPr>
        <w:t>本征收房屋补偿方案未明确事项，按国务院及省、市的相关法规执行。对征收外国领事馆房屋、军事设施、华侨房屋、教堂、寺庙、文物古迹、历史文化保护区内的建筑物等，依照有关的法律、法规、规章执行。</w:t>
      </w:r>
    </w:p>
    <w:p>
      <w:pPr>
        <w:spacing w:line="430" w:lineRule="exact"/>
        <w:ind w:firstLine="640" w:firstLineChars="200"/>
        <w:rPr>
          <w:rFonts w:ascii="仿宋" w:hAnsi="仿宋" w:eastAsia="仿宋" w:cs="仿宋"/>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、投诉监督</w:t>
      </w:r>
    </w:p>
    <w:p>
      <w:pPr>
        <w:spacing w:line="430" w:lineRule="exact"/>
        <w:ind w:firstLine="640" w:firstLineChars="200"/>
        <w:rPr>
          <w:rFonts w:ascii="仿宋" w:hAnsi="仿宋" w:eastAsia="仿宋" w:cs="仿宋"/>
          <w:sz w:val="32"/>
          <w:szCs w:val="32"/>
        </w:rPr>
      </w:pPr>
      <w:r>
        <w:rPr>
          <w:rFonts w:hint="eastAsia" w:ascii="仿宋" w:hAnsi="仿宋" w:eastAsia="仿宋" w:cs="仿宋"/>
          <w:sz w:val="32"/>
          <w:szCs w:val="32"/>
        </w:rPr>
        <w:t>为确保整个征收补偿工作顺利进行，做到公正、公平、公开，此次征收与补偿活动接受区纪委、监委监督，也欢迎被征收人参与监督。</w:t>
      </w:r>
    </w:p>
    <w:p>
      <w:pPr>
        <w:keepNext w:val="0"/>
        <w:keepLines w:val="0"/>
        <w:pageBreakBefore w:val="0"/>
        <w:kinsoku/>
        <w:overflowPunct/>
        <w:topLinePunct w:val="0"/>
        <w:autoSpaceDE/>
        <w:autoSpaceDN/>
        <w:bidi w:val="0"/>
        <w:spacing w:line="430" w:lineRule="exact"/>
        <w:textAlignment w:val="auto"/>
        <w:rPr>
          <w:rFonts w:hint="eastAsia" w:ascii="仿宋" w:hAnsi="仿宋" w:eastAsia="仿宋" w:cs="仿宋"/>
          <w:b w:val="0"/>
          <w:bCs w:val="0"/>
          <w:kern w:val="2"/>
          <w:sz w:val="32"/>
          <w:szCs w:val="32"/>
          <w:highlight w:val="none"/>
          <w:lang w:val="en-US" w:eastAsia="zh-CN" w:bidi="ar-SA"/>
        </w:rPr>
      </w:pPr>
    </w:p>
    <w:p>
      <w:pPr>
        <w:keepNext w:val="0"/>
        <w:keepLines w:val="0"/>
        <w:pageBreakBefore w:val="0"/>
        <w:kinsoku/>
        <w:overflowPunct/>
        <w:topLinePunct w:val="0"/>
        <w:autoSpaceDE/>
        <w:autoSpaceDN/>
        <w:bidi w:val="0"/>
        <w:spacing w:line="460" w:lineRule="exact"/>
        <w:textAlignment w:val="auto"/>
        <w:rPr>
          <w:rFonts w:ascii="仿宋_GB2312" w:hAnsi="仿宋_GB2312" w:eastAsia="仿宋_GB2312" w:cs="仿宋_GB2312"/>
          <w:sz w:val="32"/>
          <w:szCs w:val="32"/>
          <w:highlight w:val="none"/>
          <w:u w:val="none"/>
        </w:rPr>
      </w:pPr>
      <w:bookmarkStart w:id="0" w:name="_GoBack"/>
      <w:bookmarkEnd w:id="0"/>
    </w:p>
    <w:sectPr>
      <w:footerReference r:id="rId3" w:type="default"/>
      <w:pgSz w:w="11906" w:h="16838"/>
      <w:pgMar w:top="1701"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TgwYzVlNGRjZjc5NmFmMmI5ZDIzYmRhZGUyOGEifQ=="/>
  </w:docVars>
  <w:rsids>
    <w:rsidRoot w:val="00172A27"/>
    <w:rsid w:val="00023724"/>
    <w:rsid w:val="000E2244"/>
    <w:rsid w:val="000E78C2"/>
    <w:rsid w:val="000F4DB4"/>
    <w:rsid w:val="00133A00"/>
    <w:rsid w:val="00147626"/>
    <w:rsid w:val="00172A27"/>
    <w:rsid w:val="0022390D"/>
    <w:rsid w:val="002D093B"/>
    <w:rsid w:val="002E3B77"/>
    <w:rsid w:val="00332468"/>
    <w:rsid w:val="00354BD8"/>
    <w:rsid w:val="003733B2"/>
    <w:rsid w:val="00387A7D"/>
    <w:rsid w:val="003917FC"/>
    <w:rsid w:val="003C195A"/>
    <w:rsid w:val="003C5021"/>
    <w:rsid w:val="00474623"/>
    <w:rsid w:val="004B2076"/>
    <w:rsid w:val="004C09FC"/>
    <w:rsid w:val="00513317"/>
    <w:rsid w:val="00522AB3"/>
    <w:rsid w:val="00576EBB"/>
    <w:rsid w:val="005F7F91"/>
    <w:rsid w:val="00613CE9"/>
    <w:rsid w:val="0062108E"/>
    <w:rsid w:val="006475E5"/>
    <w:rsid w:val="00672CD4"/>
    <w:rsid w:val="00674B88"/>
    <w:rsid w:val="0073640C"/>
    <w:rsid w:val="007428BD"/>
    <w:rsid w:val="00763E5A"/>
    <w:rsid w:val="007856D1"/>
    <w:rsid w:val="007F63F6"/>
    <w:rsid w:val="00883EBD"/>
    <w:rsid w:val="008C2FD6"/>
    <w:rsid w:val="008C5593"/>
    <w:rsid w:val="009067DC"/>
    <w:rsid w:val="0092705C"/>
    <w:rsid w:val="009475FA"/>
    <w:rsid w:val="00A16602"/>
    <w:rsid w:val="00A46EE2"/>
    <w:rsid w:val="00A76E1C"/>
    <w:rsid w:val="00B16426"/>
    <w:rsid w:val="00B20F3C"/>
    <w:rsid w:val="00B424BD"/>
    <w:rsid w:val="00B9360D"/>
    <w:rsid w:val="00C2509D"/>
    <w:rsid w:val="00C52B7E"/>
    <w:rsid w:val="00CA705F"/>
    <w:rsid w:val="00D93B5F"/>
    <w:rsid w:val="00DE20D3"/>
    <w:rsid w:val="00FE5B5C"/>
    <w:rsid w:val="050B5AE1"/>
    <w:rsid w:val="14F52448"/>
    <w:rsid w:val="1A764E2B"/>
    <w:rsid w:val="1C132A7D"/>
    <w:rsid w:val="1C4743AE"/>
    <w:rsid w:val="271375F6"/>
    <w:rsid w:val="29A9553B"/>
    <w:rsid w:val="2F630919"/>
    <w:rsid w:val="30AC3D05"/>
    <w:rsid w:val="339A0A2F"/>
    <w:rsid w:val="34D04DC8"/>
    <w:rsid w:val="37281D3D"/>
    <w:rsid w:val="38284F1B"/>
    <w:rsid w:val="419B49AF"/>
    <w:rsid w:val="43216A7E"/>
    <w:rsid w:val="4ADA5280"/>
    <w:rsid w:val="4B793AE0"/>
    <w:rsid w:val="4C163B54"/>
    <w:rsid w:val="57F56326"/>
    <w:rsid w:val="59F3663D"/>
    <w:rsid w:val="5E780064"/>
    <w:rsid w:val="5F9B01F3"/>
    <w:rsid w:val="63C811DC"/>
    <w:rsid w:val="674768BC"/>
    <w:rsid w:val="6A2278CA"/>
    <w:rsid w:val="6A4643F1"/>
    <w:rsid w:val="6EA613A0"/>
    <w:rsid w:val="734252A9"/>
    <w:rsid w:val="7AD31866"/>
    <w:rsid w:val="7EF8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6988</Words>
  <Characters>7309</Characters>
  <Lines>57</Lines>
  <Paragraphs>16</Paragraphs>
  <TotalTime>0</TotalTime>
  <ScaleCrop>false</ScaleCrop>
  <LinksUpToDate>false</LinksUpToDate>
  <CharactersWithSpaces>7323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2022-01-14T00:57:00Z</dcterms:created>
  <dc:creator>茄。</dc:creator>
  <cp:lastModifiedBy>茄。</cp:lastModifiedBy>
  <cp:lastPrinted>2023-04-19T09:13:00Z</cp:lastPrinted>
  <dcterms:modified xsi:type="dcterms:W3CDTF">2024-06-04T06:33:40Z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E8E44E0F4E474A229037746508B3FBA0</vt:lpwstr>
  </property>
</Properties>
</file>