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附件2</w:t>
      </w:r>
    </w:p>
    <w:p>
      <w:pPr>
        <w:spacing w:line="540" w:lineRule="exact"/>
        <w:jc w:val="center"/>
        <w:rPr>
          <w:rFonts w:hint="eastAsia" w:ascii="仿宋" w:hAnsi="仿宋" w:eastAsia="仿宋"/>
          <w:sz w:val="36"/>
          <w:szCs w:val="32"/>
        </w:rPr>
      </w:pPr>
      <w:bookmarkStart w:id="0" w:name="_GoBack"/>
      <w:r>
        <w:rPr>
          <w:rFonts w:hint="eastAsia" w:ascii="仿宋" w:hAnsi="仿宋" w:eastAsia="仿宋"/>
          <w:sz w:val="36"/>
          <w:szCs w:val="32"/>
        </w:rPr>
        <w:t>专项资金绩效目标表</w:t>
      </w:r>
      <w:bookmarkEnd w:id="0"/>
    </w:p>
    <w:p>
      <w:pPr>
        <w:spacing w:line="540" w:lineRule="exact"/>
        <w:jc w:val="center"/>
        <w:rPr>
          <w:rFonts w:hint="eastAsia"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36"/>
          <w:szCs w:val="32"/>
        </w:rPr>
        <w:t>（2022年度）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839"/>
        <w:gridCol w:w="548"/>
        <w:gridCol w:w="712"/>
        <w:gridCol w:w="1395"/>
        <w:gridCol w:w="810"/>
        <w:gridCol w:w="150"/>
        <w:gridCol w:w="1491"/>
        <w:gridCol w:w="129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7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117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24"/>
              </w:rPr>
              <w:t>季度增产增效奖励资金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7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主管部门</w:t>
            </w:r>
          </w:p>
        </w:tc>
        <w:tc>
          <w:tcPr>
            <w:tcW w:w="306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晋安区工业和信息化局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补助区域</w:t>
            </w:r>
          </w:p>
        </w:tc>
        <w:tc>
          <w:tcPr>
            <w:tcW w:w="255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资金总额：</w:t>
            </w:r>
          </w:p>
        </w:tc>
        <w:tc>
          <w:tcPr>
            <w:tcW w:w="50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13.5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其中：财政拨款</w:t>
            </w:r>
          </w:p>
        </w:tc>
        <w:tc>
          <w:tcPr>
            <w:tcW w:w="50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13.5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其他资金</w:t>
            </w:r>
          </w:p>
        </w:tc>
        <w:tc>
          <w:tcPr>
            <w:tcW w:w="50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总体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目标</w:t>
            </w:r>
          </w:p>
        </w:tc>
        <w:tc>
          <w:tcPr>
            <w:tcW w:w="8504" w:type="dxa"/>
            <w:gridSpan w:val="9"/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</w:rPr>
              <w:t>落实保障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2022年二季度期间工业生产稳定运行有关措施，鼓励企业扩大生产，降低企业生产成本，促进二季度全市工业经济平稳增长。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效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一级指标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二级指标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三级指标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指标解释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区域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数量指标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受益企业数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获得奖励资金的企业数量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≧7家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89" w:type="dxa"/>
            <w:vMerge w:val="continue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质量指标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受益企业产值增量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获得奖励资金企业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24"/>
              </w:rPr>
              <w:t>季度产值比2021年度同期增长率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时效指标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奖励资金下达时间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市财政局、工信局联合下达资金的时间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月前下达资金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89" w:type="dxa"/>
            <w:vMerge w:val="continue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成本指标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降低相关企业成本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下达至企业的奖励资金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13.5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89" w:type="dxa"/>
            <w:vMerge w:val="continue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益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经济效益指标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24"/>
              </w:rPr>
              <w:t>季度全区规上工业增加值增长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全区规模以上工业增加值同比增长速度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社会效益指标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24"/>
              </w:rPr>
              <w:t>季度全区规上工业营业收入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24"/>
              </w:rPr>
              <w:t>季度全区规上工业企业实现营业收入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满意度指标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服务对象满意度指标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奖励对象满意度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奖励对象中给出满意评价的企业数占全部获奖企业数的比率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不低于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80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</w:tr>
    </w:tbl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/>
    <w:sectPr>
      <w:headerReference r:id="rId3" w:type="default"/>
      <w:pgSz w:w="11906" w:h="16838"/>
      <w:pgMar w:top="1440" w:right="1576" w:bottom="1157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207C6554"/>
    <w:rsid w:val="1F2A599E"/>
    <w:rsid w:val="207C6554"/>
    <w:rsid w:val="3BEE241A"/>
    <w:rsid w:val="4F7F69B0"/>
    <w:rsid w:val="695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2023-03-28T08:04:00Z</dcterms:created>
  <dc:creator>娜（Lina）</dc:creator>
  <cp:lastModifiedBy>娜（Lina）</cp:lastModifiedBy>
  <dcterms:modified xsi:type="dcterms:W3CDTF">2023-03-28T08:05:02Z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C2457E26CB8244E8A30F71CD9AF98C42</vt:lpwstr>
  </property>
</Properties>
</file>