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eastAsia="zh-CN"/>
        </w:rPr>
        <w:t>盗采矿产资源违法活动排查结果汇总表</w:t>
      </w:r>
    </w:p>
    <w:p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-96" w:leftChars="-30" w:right="-96" w:rightChars="-3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填报单位：</w:t>
      </w:r>
    </w:p>
    <w:tbl>
      <w:tblPr>
        <w:tblStyle w:val="7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6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县（市、区）</w:t>
            </w:r>
          </w:p>
        </w:tc>
        <w:tc>
          <w:tcPr>
            <w:tcW w:w="8880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非法违法开采（个)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非法违法获取、转供火工品(个）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非法违法获取、转供电力（个）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非法违法获取、转供煤炭准运凭证（个）</w:t>
            </w:r>
          </w:p>
        </w:tc>
        <w:tc>
          <w:tcPr>
            <w:tcW w:w="5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无证非法采矿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证照不全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非法转包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以采代探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超层越界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不符合安全要求开采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不符合环保要求开采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不符合供电要求开采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存在地质灾害隐患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尾矿库存在安全隐患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矿产品非法交易情况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违规参股办矿情况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非法违法获取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非法违法转供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非法违法获取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非法违法转供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非法违法获取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非法违法转供</w:t>
            </w:r>
          </w:p>
        </w:tc>
        <w:tc>
          <w:tcPr>
            <w:tcW w:w="57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缺采矿许可证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缺安全生产许可证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缺矿长安全资格证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缺营业执照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缺环保审批手续</w:t>
            </w: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-96" w:leftChars="-30" w:right="-96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rPr>
          <w:rFonts w:hint="eastAsia" w:ascii="方正仿宋简体" w:hAnsi="方正仿宋简体" w:eastAsia="方正仿宋简体" w:cs="方正仿宋简体"/>
        </w:rPr>
        <w:sectPr>
          <w:headerReference r:id="rId3" w:type="default"/>
          <w:footerReference r:id="rId4" w:type="default"/>
          <w:pgSz w:w="16838" w:h="11906" w:orient="landscape"/>
          <w:pgMar w:top="1587" w:right="1417" w:bottom="1474" w:left="1417" w:header="851" w:footer="992" w:gutter="0"/>
          <w:pgNumType w:fmt="numberInDash"/>
          <w:cols w:space="720" w:num="1"/>
          <w:rtlGutter w:val="0"/>
          <w:docGrid w:type="lines" w:linePitch="44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cs="方正仿宋简体"/>
          <w:sz w:val="2"/>
          <w:szCs w:val="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41" w:right="1474" w:bottom="1984" w:left="158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ZK38S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l23K5TG+&#10;PiTqpjSZK1xgp8I0ukJzWrO8G7/fS9bTz7D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A2&#10;St/EtgEAAFQDAAAOAAAAAAAAAAEAIAAAAB8BAABkcnMvZTJvRG9jLnhtbFBLBQYAAAAABgAGAFkB&#10;AABH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方正仿宋简体"/>
      <w:color w:val="auto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pacing w:line="360" w:lineRule="auto"/>
    </w:pPr>
    <w:rPr>
      <w:rFonts w:ascii="仿宋_GB2312" w:eastAsia="仿宋_GB2312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2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2022-06-20T09:14:15Z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